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Reading and Writing for Assessment</w:t>
      </w:r>
    </w:p>
    <w:p w:rsidR="00000000" w:rsidDel="00000000" w:rsidP="00000000" w:rsidRDefault="00000000" w:rsidRPr="00000000">
      <w:pPr>
        <w:spacing w:after="180" w:before="0" w:line="259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32"/>
          <w:szCs w:val="32"/>
          <w:rtl w:val="0"/>
        </w:rPr>
        <w:t xml:space="preserve">Evidence from Sources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450.0" w:type="dxa"/>
        <w:jc w:val="left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4950"/>
        <w:gridCol w:w="990"/>
        <w:gridCol w:w="2160"/>
        <w:tblGridChange w:id="0">
          <w:tblGrid>
            <w:gridCol w:w="1350"/>
            <w:gridCol w:w="4950"/>
            <w:gridCol w:w="990"/>
            <w:gridCol w:w="2160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Paraphrase and quote.</w:t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color w:val="000000"/>
          <w:sz w:val="24"/>
          <w:szCs w:val="24"/>
          <w:rtl w:val="0"/>
        </w:rPr>
        <w:t xml:space="preserve">Paraphrase and quote this selection. Mention the title and author.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9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When Dragons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Marion Lester</w:t>
      </w:r>
    </w:p>
    <w:p w:rsidR="00000000" w:rsidDel="00000000" w:rsidP="00000000" w:rsidRDefault="00000000" w:rsidRPr="00000000">
      <w:pPr>
        <w:spacing w:after="280" w:before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York drops a ball to celebrate New Year, but Shanghai fills its streets with dancing dragons. The Chinese New Year can feature puppets that stretch a block long. The puppets are animated by . . .</w:t>
      </w:r>
    </w:p>
    <w:p w:rsidR="00000000" w:rsidDel="00000000" w:rsidP="00000000" w:rsidRDefault="00000000" w:rsidRPr="00000000">
      <w:pPr>
        <w:spacing w:after="28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Paraphrase: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0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0"/>
        </w:tabs>
        <w:spacing w:after="90" w:before="86" w:line="259" w:lineRule="auto"/>
        <w:ind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© </w:t>
      </w:r>
      <w:hyperlink r:id="rId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Thoughtful Learning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From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Writers Express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and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Reading/Writing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rs-express" TargetMode="External"/><Relationship Id="rId7" Type="http://schemas.openxmlformats.org/officeDocument/2006/relationships/hyperlink" Target="https://k12.thoughtfullearning.com/products/reading-and-writing-assessment" TargetMode="External"/><Relationship Id="rId8" Type="http://schemas.openxmlformats.org/officeDocument/2006/relationships/hyperlink" Target="https://k12.thoughtfullearning.com/products/reading-and-writing-information-assessm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