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Arial" w:cs="Arial" w:eastAsia="Arial" w:hAnsi="Arial"/>
          <w:b w:val="1"/>
          <w:sz w:val="40"/>
          <w:szCs w:val="40"/>
          <w:rtl w:val="0"/>
        </w:rPr>
        <w:t xml:space="preserve">Reading and Writing for Assessment</w:t>
      </w:r>
    </w:p>
    <w:p w:rsidR="00000000" w:rsidDel="00000000" w:rsidP="00000000" w:rsidRDefault="00000000" w:rsidRPr="00000000">
      <w:pPr>
        <w:spacing w:after="180" w:before="0" w:line="259" w:lineRule="auto"/>
        <w:contextualSpacing w:val="0"/>
      </w:pPr>
      <w:r w:rsidDel="00000000" w:rsidR="00000000" w:rsidRPr="00000000">
        <w:rPr>
          <w:rFonts w:ascii="Arial" w:cs="Arial" w:eastAsia="Arial" w:hAnsi="Arial"/>
          <w:b w:val="1"/>
          <w:color w:val="000000"/>
          <w:sz w:val="32"/>
          <w:szCs w:val="32"/>
          <w:rtl w:val="0"/>
        </w:rPr>
        <w:t xml:space="preserve">Understanding </w:t>
      </w:r>
      <w:r w:rsidDel="00000000" w:rsidR="00000000" w:rsidRPr="00000000">
        <w:rPr>
          <w:rFonts w:ascii="Arial" w:cs="Arial" w:eastAsia="Arial" w:hAnsi="Arial"/>
          <w:b w:val="0"/>
          <w:color w:val="000000"/>
          <w:sz w:val="32"/>
          <w:szCs w:val="32"/>
          <w:rtl w:val="0"/>
        </w:rPr>
        <w:t xml:space="preserve">Controlling Sentences</w:t>
      </w:r>
      <w:r w:rsidDel="00000000" w:rsidR="00000000" w:rsidRPr="00000000">
        <w:rPr>
          <w:rtl w:val="0"/>
        </w:rPr>
      </w:r>
    </w:p>
    <w:tbl>
      <w:tblPr>
        <w:tblStyle w:val="Table1"/>
        <w:bidi w:val="0"/>
        <w:tblW w:w="9450.0" w:type="dxa"/>
        <w:jc w:val="left"/>
        <w:tblInd w:w="-20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350"/>
        <w:gridCol w:w="4950"/>
        <w:gridCol w:w="990"/>
        <w:gridCol w:w="2160"/>
        <w:tblGridChange w:id="0">
          <w:tblGrid>
            <w:gridCol w:w="1350"/>
            <w:gridCol w:w="4950"/>
            <w:gridCol w:w="990"/>
            <w:gridCol w:w="2160"/>
          </w:tblGrid>
        </w:tblGridChange>
      </w:tblGrid>
      <w:tr>
        <w:trPr>
          <w:trHeight w:val="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Student: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bottom"/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bottom"/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Date: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Fonts w:ascii="Arial" w:cs="Arial" w:eastAsia="Arial" w:hAnsi="Arial"/>
          <w:b w:val="1"/>
          <w:color w:val="000000"/>
          <w:sz w:val="24"/>
          <w:szCs w:val="24"/>
          <w:rtl w:val="0"/>
        </w:rPr>
        <w:t xml:space="preserve">Infer controlling sentences.</w:t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Fonts w:ascii="Arial" w:cs="Arial" w:eastAsia="Arial" w:hAnsi="Arial"/>
          <w:b w:val="0"/>
          <w:color w:val="000000"/>
          <w:sz w:val="24"/>
          <w:szCs w:val="24"/>
          <w:rtl w:val="0"/>
        </w:rPr>
        <w:t xml:space="preserve">For each paragraph, state the topic and a special thought.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Fonts w:ascii="Arial" w:cs="Arial" w:eastAsia="Arial" w:hAnsi="Arial"/>
          <w:b w:val="0"/>
          <w:color w:val="000000"/>
          <w:sz w:val="24"/>
          <w:szCs w:val="24"/>
          <w:rtl w:val="0"/>
        </w:rPr>
        <w:t xml:space="preserve">A green dragon symbolizes growing things and bounty. A red dragon represents good fortune and excitement. Gold and silver, of course, stand for wealth, but they also create a glittering effect as the dragon moves along. Yellow symbolizes the stately empire of China. All dragons of all colors show happiness and pride.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Fonts w:ascii="Arial" w:cs="Arial" w:eastAsia="Arial" w:hAnsi="Arial"/>
          <w:b w:val="0"/>
          <w:i w:val="1"/>
          <w:color w:val="000000"/>
          <w:sz w:val="24"/>
          <w:szCs w:val="24"/>
          <w:rtl w:val="0"/>
        </w:rPr>
        <w:t xml:space="preserve">Inferred controlling sentence:</w:t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Fonts w:ascii="Arial" w:cs="Arial" w:eastAsia="Arial" w:hAnsi="Arial"/>
          <w:b w:val="0"/>
          <w:color w:val="000000"/>
          <w:sz w:val="24"/>
          <w:szCs w:val="24"/>
          <w:rtl w:val="0"/>
        </w:rPr>
        <w:t xml:space="preserve">Chinese dragons display power, wisdom, fertility, and wonder. They bring good luck. A dragon might look scary and angry, but it is a good creature and represents the power of the empire. The dragon creates a sense of beauty and dignity.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Fonts w:ascii="Arial" w:cs="Arial" w:eastAsia="Arial" w:hAnsi="Arial"/>
          <w:b w:val="0"/>
          <w:i w:val="1"/>
          <w:color w:val="000000"/>
          <w:sz w:val="24"/>
          <w:szCs w:val="24"/>
          <w:rtl w:val="0"/>
        </w:rPr>
        <w:t xml:space="preserve">Inferred controlling sentence:</w:t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0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tabs>
          <w:tab w:val="left" w:pos="450"/>
        </w:tabs>
        <w:spacing w:after="90" w:before="86" w:line="259" w:lineRule="auto"/>
        <w:ind w:firstLine="0"/>
        <w:contextualSpacing w:val="0"/>
        <w:jc w:val="both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Arial" w:cs="Arial" w:eastAsia="Arial" w:hAnsi="Arial"/>
          <w:rtl w:val="0"/>
        </w:rPr>
        <w:t xml:space="preserve">© </w:t>
      </w:r>
      <w:hyperlink r:id="rId5">
        <w:r w:rsidDel="00000000" w:rsidR="00000000" w:rsidRPr="00000000">
          <w:rPr>
            <w:rFonts w:ascii="Arial" w:cs="Arial" w:eastAsia="Arial" w:hAnsi="Arial"/>
            <w:color w:val="0563c1"/>
            <w:u w:val="single"/>
            <w:rtl w:val="0"/>
          </w:rPr>
          <w:t xml:space="preserve">Thoughtful Learning</w:t>
        </w:r>
      </w:hyperlink>
      <w:r w:rsidDel="00000000" w:rsidR="00000000" w:rsidRPr="00000000">
        <w:rPr>
          <w:rFonts w:ascii="Arial" w:cs="Arial" w:eastAsia="Arial" w:hAnsi="Arial"/>
          <w:rtl w:val="0"/>
        </w:rPr>
        <w:tab/>
        <w:tab/>
        <w:t xml:space="preserve">From </w:t>
      </w:r>
      <w:hyperlink r:id="rId6">
        <w:r w:rsidDel="00000000" w:rsidR="00000000" w:rsidRPr="00000000">
          <w:rPr>
            <w:rFonts w:ascii="Arial" w:cs="Arial" w:eastAsia="Arial" w:hAnsi="Arial"/>
            <w:color w:val="0563c1"/>
            <w:u w:val="single"/>
            <w:rtl w:val="0"/>
          </w:rPr>
          <w:t xml:space="preserve">Writers Express</w:t>
        </w:r>
      </w:hyperlink>
      <w:r w:rsidDel="00000000" w:rsidR="00000000" w:rsidRPr="00000000">
        <w:rPr>
          <w:rFonts w:ascii="Arial" w:cs="Arial" w:eastAsia="Arial" w:hAnsi="Arial"/>
          <w:rtl w:val="0"/>
        </w:rPr>
        <w:t xml:space="preserve"> and </w:t>
      </w:r>
      <w:hyperlink r:id="rId7">
        <w:r w:rsidDel="00000000" w:rsidR="00000000" w:rsidRPr="00000000">
          <w:rPr>
            <w:rFonts w:ascii="Arial" w:cs="Arial" w:eastAsia="Arial" w:hAnsi="Arial"/>
            <w:color w:val="1155cc"/>
            <w:u w:val="single"/>
            <w:rtl w:val="0"/>
          </w:rPr>
          <w:t xml:space="preserve">Reading/Writing Assessment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hyperlink r:id="rId8">
        <w:r w:rsidDel="00000000" w:rsidR="00000000" w:rsidRPr="00000000">
          <w:rPr>
            <w:rtl w:val="0"/>
          </w:rPr>
        </w:r>
      </w:hyperlink>
    </w:p>
    <w:p w:rsidR="00000000" w:rsidDel="00000000" w:rsidP="00000000" w:rsidRDefault="00000000" w:rsidRPr="00000000">
      <w:pPr>
        <w:contextualSpacing w:val="0"/>
      </w:pPr>
      <w:hyperlink r:id="rId9">
        <w:r w:rsidDel="00000000" w:rsidR="00000000" w:rsidRPr="00000000">
          <w:rPr>
            <w:rtl w:val="0"/>
          </w:rPr>
        </w:r>
      </w:hyperlink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160" w:before="0" w:line="259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  <w:contextualSpacing w:val="1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  <w:contextualSpacing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  <w:contextualSpacing w:val="1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  <w:contextualSpacing w:val="1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  <w:contextualSpacing w:val="1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  <w:contextualSpacing w:val="1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  <w:contextualSpacing w:val="1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  <w:contextualSpacing w:val="1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blStylePr w:type="band1Horz"/>
    <w:tblStylePr w:type="band1Vert"/>
    <w:tblStylePr w:type="band2Horz"/>
    <w:tblStylePr w:type="band2Vert"/>
    <w:tblStylePr w:type="firstCol"/>
    <w:tblStylePr w:type="firstRow"/>
    <w:tblStylePr w:type="lastCol"/>
    <w:tblStylePr w:type="lastRow"/>
    <w:tblStylePr w:type="neCell"/>
    <w:tblStylePr w:type="nwCell"/>
    <w:tblStylePr w:type="seCell"/>
    <w:tblStylePr w:type="swCell"/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9" Type="http://schemas.openxmlformats.org/officeDocument/2006/relationships/hyperlink" Target="https://k12.thoughtfullearning.com/products/reading-and-writing-information-assessment" TargetMode="Externa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writers-express" TargetMode="External"/><Relationship Id="rId7" Type="http://schemas.openxmlformats.org/officeDocument/2006/relationships/hyperlink" Target="https://k12.thoughtfullearning.com/products/reading-and-writing-assessment" TargetMode="External"/><Relationship Id="rId8" Type="http://schemas.openxmlformats.org/officeDocument/2006/relationships/hyperlink" Target="https://k12.thoughtfullearning.com/products/reading-and-writing-information-assessment" TargetMode="External"/></Relationships>
</file>