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0"/>
        <w:gridCol w:w="981"/>
        <w:gridCol w:w="4460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5984C77C" w:rsidR="00894D38" w:rsidRPr="006C476E" w:rsidRDefault="00CC165E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 Favorit Lake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46348228" w:rsidR="009E254B" w:rsidRPr="006C476E" w:rsidRDefault="00CC165E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0F06B58A" w:rsidR="006C476E" w:rsidRPr="006C476E" w:rsidRDefault="00854D9F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bookmarkStart w:id="0" w:name="_GoBack"/>
            <w:bookmarkEnd w:id="0"/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67721CA2" w:rsidR="002B5FDC" w:rsidRPr="006C476E" w:rsidRDefault="00CC165E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1FC16678" w:rsidR="002B5FDC" w:rsidRPr="006C476E" w:rsidRDefault="00CC165E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05C0882B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CC165E" w:rsidRPr="00CC165E">
        <w:rPr>
          <w:rFonts w:ascii="Arial" w:hAnsi="Arial" w:cs="Arial"/>
          <w:sz w:val="28"/>
          <w:szCs w:val="28"/>
        </w:rPr>
        <w:t>Instead of having your first sentence repeat the title, you could begin by describing the water and the sand.</w:t>
      </w:r>
      <w:r w:rsidR="00CC165E">
        <w:rPr>
          <w:rFonts w:ascii="Arial" w:hAnsi="Arial" w:cs="Arial"/>
          <w:sz w:val="28"/>
          <w:szCs w:val="28"/>
        </w:rPr>
        <w:t xml:space="preserve"> </w:t>
      </w:r>
      <w:r w:rsidR="00CC165E" w:rsidRPr="00CC165E">
        <w:rPr>
          <w:rFonts w:ascii="Arial" w:hAnsi="Arial" w:cs="Arial"/>
          <w:sz w:val="28"/>
          <w:szCs w:val="28"/>
        </w:rPr>
        <w:t>That would make it sound more like your own favorite lake. Be sure to check your spelling</w:t>
      </w:r>
      <w:r w:rsidR="00CC165E">
        <w:rPr>
          <w:rFonts w:ascii="Arial" w:hAnsi="Arial" w:cs="Arial"/>
          <w:sz w:val="28"/>
          <w:szCs w:val="28"/>
        </w:rPr>
        <w:t>.</w:t>
      </w:r>
      <w:r w:rsidRPr="006C476E">
        <w:rPr>
          <w:rFonts w:ascii="Arial" w:hAnsi="Arial" w:cs="Arial"/>
          <w:sz w:val="28"/>
          <w:szCs w:val="28"/>
        </w:rPr>
        <w:t xml:space="preserve">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54D9F"/>
    <w:rsid w:val="00894D38"/>
    <w:rsid w:val="008A0710"/>
    <w:rsid w:val="009E254B"/>
    <w:rsid w:val="009F7EA5"/>
    <w:rsid w:val="00A6166D"/>
    <w:rsid w:val="00A67FD0"/>
    <w:rsid w:val="00AB5700"/>
    <w:rsid w:val="00C21459"/>
    <w:rsid w:val="00C53DFF"/>
    <w:rsid w:val="00C94F5E"/>
    <w:rsid w:val="00CC0795"/>
    <w:rsid w:val="00CC165E"/>
    <w:rsid w:val="00DA6C6B"/>
    <w:rsid w:val="00DB2649"/>
    <w:rsid w:val="00E111B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2016-09-06T20:44:00Z</dcterms:created>
  <dcterms:modified xsi:type="dcterms:W3CDTF">2016-09-07T18:36:00Z</dcterms:modified>
</cp:coreProperties>
</file>